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本文 A"/>
        <w:spacing w:after="0"/>
        <w:jc w:val="center"/>
      </w:pPr>
      <w:r>
        <w:rPr>
          <w:rFonts w:eastAsia="游ゴシック体 ボールド" w:hint="eastAsia"/>
          <w:sz w:val="27"/>
          <w:szCs w:val="27"/>
          <w:rtl w:val="0"/>
          <w:lang w:val="en-US"/>
        </w:rPr>
        <w:t>ツーリズム</w:t>
      </w:r>
      <w:r>
        <w:rPr>
          <w:rFonts w:ascii="游ゴシック体 ボールド" w:hAnsi="游ゴシック体 ボールド"/>
          <w:sz w:val="27"/>
          <w:szCs w:val="27"/>
          <w:rtl w:val="0"/>
          <w:lang w:val="en-US"/>
        </w:rPr>
        <w:t>EXPO</w:t>
      </w:r>
      <w:r>
        <w:rPr>
          <w:rFonts w:eastAsia="游ゴシック体 ボールド" w:hint="eastAsia"/>
          <w:sz w:val="27"/>
          <w:szCs w:val="27"/>
          <w:rtl w:val="0"/>
          <w:lang w:val="en-US"/>
        </w:rPr>
        <w:t>ジャパン</w:t>
      </w:r>
      <w:r>
        <w:rPr>
          <w:rFonts w:ascii="游ゴシック体 ボールド" w:hAnsi="游ゴシック体 ボールド"/>
          <w:sz w:val="27"/>
          <w:szCs w:val="27"/>
          <w:rtl w:val="0"/>
          <w:lang w:val="en-US"/>
        </w:rPr>
        <w:t>2026</w:t>
      </w:r>
    </w:p>
    <w:p>
      <w:pPr>
        <w:pStyle w:val="本文 A"/>
        <w:spacing w:after="100"/>
        <w:jc w:val="center"/>
      </w:pPr>
      <w:r>
        <w:rPr>
          <w:rFonts w:eastAsia="游ゴシック体 ボールド" w:hint="eastAsia"/>
          <w:outline w:val="0"/>
          <w:color w:val="b58b47"/>
          <w:sz w:val="33"/>
          <w:szCs w:val="33"/>
          <w:u w:color="b58b47"/>
          <w:rtl w:val="0"/>
          <w:lang w:val="en-US"/>
          <w14:textFill>
            <w14:solidFill>
              <w14:srgbClr w14:val="B58B47"/>
            </w14:solidFill>
          </w14:textFill>
        </w:rPr>
        <w:t>出展ブース見どころシート</w:t>
      </w:r>
    </w:p>
    <w:tbl>
      <w:tblPr>
        <w:tblW w:w="10596" w:type="dxa"/>
        <w:jc w:val="center"/>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298"/>
        <w:gridCol w:w="5298"/>
      </w:tblGrid>
      <w:tr>
        <w:tblPrEx>
          <w:shd w:val="clear" w:color="auto" w:fill="ced7e7"/>
        </w:tblPrEx>
        <w:trPr>
          <w:trHeight w:val="185" w:hRule="atLeast"/>
        </w:trPr>
        <w:tc>
          <w:tcPr>
            <w:tcW w:type="dxa" w:w="5298"/>
            <w:tcBorders>
              <w:top w:val="single" w:color="c9a35b" w:sz="5" w:space="0" w:shadow="0" w:frame="0"/>
              <w:left w:val="single" w:color="c9a35b" w:sz="5" w:space="0" w:shadow="0" w:frame="0"/>
              <w:bottom w:val="single" w:color="c9a35b" w:sz="5" w:space="0" w:shadow="0" w:frame="0"/>
              <w:right w:val="single" w:color="c9a35b" w:sz="5" w:space="0" w:shadow="0" w:frame="0"/>
            </w:tcBorders>
            <w:shd w:val="clear" w:color="auto" w:fill="111111"/>
            <w:tcMar>
              <w:top w:type="dxa" w:w="80"/>
              <w:left w:type="dxa" w:w="80"/>
              <w:bottom w:type="dxa" w:w="80"/>
              <w:right w:type="dxa" w:w="80"/>
            </w:tcMar>
            <w:vAlign w:val="top"/>
          </w:tcPr>
          <w:p>
            <w:pPr>
              <w:pStyle w:val="本文 A"/>
            </w:pPr>
            <w:r>
              <w:rPr>
                <w:rFonts w:eastAsia="游ゴシック体 ボールド" w:hint="eastAsia"/>
                <w:outline w:val="0"/>
                <w:color w:val="ffffff"/>
                <w:u w:color="ffffff"/>
                <w:shd w:val="nil" w:color="auto" w:fill="auto"/>
                <w:rtl w:val="0"/>
                <w:lang w:val="zh-CN" w:eastAsia="zh-CN"/>
                <w14:textFill>
                  <w14:solidFill>
                    <w14:srgbClr w14:val="FFFFFF"/>
                  </w14:solidFill>
                </w14:textFill>
              </w:rPr>
              <w:t>出展者：</w:t>
            </w:r>
            <w:r>
              <w:rPr>
                <w:rFonts w:ascii="游ゴシック体 ボールド" w:hAnsi="游ゴシック体 ボールド"/>
                <w:outline w:val="0"/>
                <w:color w:val="ffffff"/>
                <w:u w:color="ffffff"/>
                <w:shd w:val="nil" w:color="auto" w:fill="auto"/>
                <w:rtl w:val="0"/>
                <w:lang w:val="en-US"/>
                <w14:textFill>
                  <w14:solidFill>
                    <w14:srgbClr w14:val="FFFFFF"/>
                  </w14:solidFill>
                </w14:textFill>
              </w:rPr>
              <w:t>sky</w:t>
            </w:r>
            <w:r>
              <w:rPr>
                <w:rFonts w:eastAsia="游ゴシック体 ボールド" w:hint="eastAsia"/>
                <w:outline w:val="0"/>
                <w:color w:val="ffffff"/>
                <w:u w:color="ffffff"/>
                <w:shd w:val="nil" w:color="auto" w:fill="auto"/>
                <w:rtl w:val="0"/>
                <w:lang w:val="ja-JP" w:eastAsia="ja-JP"/>
                <w14:textFill>
                  <w14:solidFill>
                    <w14:srgbClr w14:val="FFFFFF"/>
                  </w14:solidFill>
                </w14:textFill>
              </w:rPr>
              <w:t>株式会社（</w:t>
            </w:r>
            <w:r>
              <w:rPr>
                <w:rFonts w:ascii="游ゴシック体 ボールド" w:hAnsi="游ゴシック体 ボールド"/>
                <w:outline w:val="0"/>
                <w:color w:val="ffffff"/>
                <w:u w:color="ffffff"/>
                <w:shd w:val="nil" w:color="auto" w:fill="auto"/>
                <w:rtl w:val="0"/>
                <w:lang w:val="en-US"/>
                <w14:textFill>
                  <w14:solidFill>
                    <w14:srgbClr w14:val="FFFFFF"/>
                  </w14:solidFill>
                </w14:textFill>
              </w:rPr>
              <w:t>SKY TRANSFER</w:t>
            </w:r>
            <w:r>
              <w:rPr>
                <w:rFonts w:eastAsia="游ゴシック体 ボールド" w:hint="eastAsia"/>
                <w:outline w:val="0"/>
                <w:color w:val="ffffff"/>
                <w:u w:color="ffffff"/>
                <w:shd w:val="nil" w:color="auto" w:fill="auto"/>
                <w:rtl w:val="0"/>
                <w14:textFill>
                  <w14:solidFill>
                    <w14:srgbClr w14:val="FFFFFF"/>
                  </w14:solidFill>
                </w14:textFill>
              </w:rPr>
              <w:t>）</w:t>
            </w:r>
          </w:p>
        </w:tc>
        <w:tc>
          <w:tcPr>
            <w:tcW w:type="dxa" w:w="5298"/>
            <w:tcBorders>
              <w:top w:val="single" w:color="c9a35b" w:sz="5" w:space="0" w:shadow="0" w:frame="0"/>
              <w:left w:val="single" w:color="c9a35b" w:sz="5" w:space="0" w:shadow="0" w:frame="0"/>
              <w:bottom w:val="single" w:color="c9a35b" w:sz="5" w:space="0" w:shadow="0" w:frame="0"/>
              <w:right w:val="single" w:color="c9a35b" w:sz="5" w:space="0" w:shadow="0" w:frame="0"/>
            </w:tcBorders>
            <w:shd w:val="clear" w:color="auto" w:fill="111111"/>
            <w:tcMar>
              <w:top w:type="dxa" w:w="80"/>
              <w:left w:type="dxa" w:w="80"/>
              <w:bottom w:type="dxa" w:w="80"/>
              <w:right w:type="dxa" w:w="80"/>
            </w:tcMar>
            <w:vAlign w:val="top"/>
          </w:tcPr>
          <w:p>
            <w:pPr>
              <w:pStyle w:val="本文 A"/>
              <w:jc w:val="right"/>
            </w:pPr>
            <w:r>
              <w:rPr>
                <w:rFonts w:ascii="游ゴシック体 ミディアム" w:hAnsi="游ゴシック体 ミディアム"/>
                <w:outline w:val="0"/>
                <w:color w:val="e1cdaa"/>
                <w:sz w:val="16"/>
                <w:szCs w:val="16"/>
                <w:u w:color="e1cdaa"/>
                <w:shd w:val="nil" w:color="auto" w:fill="auto"/>
                <w:rtl w:val="0"/>
                <w:lang w:val="en-US"/>
                <w14:textFill>
                  <w14:solidFill>
                    <w14:srgbClr w14:val="E1CDAA"/>
                  </w14:solidFill>
                </w14:textFill>
              </w:rPr>
              <w:t>Premium Chauffeur &amp; Airport Transfer</w:t>
            </w:r>
          </w:p>
        </w:tc>
      </w:tr>
    </w:tbl>
    <w:p>
      <w:pPr>
        <w:pStyle w:val="本文 A"/>
        <w:widowControl w:val="0"/>
        <w:spacing w:after="100" w:line="240" w:lineRule="auto"/>
        <w:ind w:left="108" w:hanging="108"/>
        <w:jc w:val="center"/>
      </w:pPr>
    </w:p>
    <w:p>
      <w:pPr>
        <w:pStyle w:val="本文 A"/>
        <w:widowControl w:val="0"/>
        <w:spacing w:after="100" w:line="240" w:lineRule="auto"/>
        <w:jc w:val="center"/>
      </w:pPr>
    </w:p>
    <w:p>
      <w:pPr>
        <w:pStyle w:val="本文 A"/>
        <w:spacing w:after="20"/>
        <w:jc w:val="center"/>
      </w:pPr>
      <w:r>
        <w:drawing xmlns:a="http://schemas.openxmlformats.org/drawingml/2006/main">
          <wp:inline distT="0" distB="0" distL="0" distR="0">
            <wp:extent cx="5652000" cy="42390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4">
                      <a:extLst/>
                    </a:blip>
                    <a:stretch>
                      <a:fillRect/>
                    </a:stretch>
                  </pic:blipFill>
                  <pic:spPr>
                    <a:xfrm>
                      <a:off x="0" y="0"/>
                      <a:ext cx="5652000" cy="4239000"/>
                    </a:xfrm>
                    <a:prstGeom prst="rect">
                      <a:avLst/>
                    </a:prstGeom>
                    <a:ln w="12700" cap="flat">
                      <a:noFill/>
                      <a:miter lim="400000"/>
                    </a:ln>
                    <a:effectLst/>
                  </pic:spPr>
                </pic:pic>
              </a:graphicData>
            </a:graphic>
          </wp:inline>
        </w:drawing>
      </w:r>
    </w:p>
    <w:p>
      <w:pPr>
        <w:pStyle w:val="本文 A"/>
        <w:spacing w:after="60"/>
        <w:jc w:val="center"/>
      </w:pPr>
      <w:r>
        <w:rPr>
          <w:rFonts w:eastAsia="游ゴシック体 ミディアム" w:hint="eastAsia"/>
          <w:outline w:val="0"/>
          <w:color w:val="6e6e6e"/>
          <w:sz w:val="14"/>
          <w:szCs w:val="14"/>
          <w:u w:color="6e6e6e"/>
          <w:rtl w:val="0"/>
          <w:lang w:val="en-US"/>
          <w14:textFill>
            <w14:solidFill>
              <w14:srgbClr w14:val="6E6E6E"/>
            </w14:solidFill>
          </w14:textFill>
        </w:rPr>
        <w:t>出展ブースイメージ</w:t>
      </w:r>
    </w:p>
    <w:p>
      <w:pPr>
        <w:pStyle w:val="本文 A"/>
        <w:spacing w:after="30"/>
      </w:pPr>
      <w:r>
        <w:rPr>
          <w:rFonts w:ascii="游ゴシック体 ボールド" w:hAnsi="游ゴシック体 ボールド" w:hint="default"/>
          <w:outline w:val="0"/>
          <w:color w:val="b58b47"/>
          <w:sz w:val="21"/>
          <w:szCs w:val="21"/>
          <w:u w:color="b58b47"/>
          <w:rtl w:val="0"/>
          <w:lang w:val="en-US"/>
          <w14:textFill>
            <w14:solidFill>
              <w14:srgbClr w14:val="B58B47"/>
            </w14:solidFill>
          </w14:textFill>
        </w:rPr>
        <w:t xml:space="preserve">■ </w:t>
      </w:r>
      <w:r>
        <w:rPr>
          <w:rFonts w:eastAsia="游ゴシック体 ボールド" w:hint="eastAsia"/>
          <w:outline w:val="0"/>
          <w:color w:val="b58b47"/>
          <w:sz w:val="21"/>
          <w:szCs w:val="21"/>
          <w:u w:color="b58b47"/>
          <w:rtl w:val="0"/>
          <w:lang w:val="en-US"/>
          <w14:textFill>
            <w14:solidFill>
              <w14:srgbClr w14:val="B58B47"/>
            </w14:solidFill>
          </w14:textFill>
        </w:rPr>
        <w:t>出展ブースの見どころ</w:t>
      </w:r>
    </w:p>
    <w:p>
      <w:pPr>
        <w:pStyle w:val="本文 A"/>
        <w:spacing w:before="10" w:after="0"/>
      </w:pPr>
      <w:r>
        <w:rPr>
          <w:rFonts w:ascii="游ゴシック体 ボールド" w:hAnsi="游ゴシック体 ボールド"/>
          <w:rtl w:val="0"/>
          <w:lang w:val="en-US"/>
        </w:rPr>
        <w:t xml:space="preserve">1. </w:t>
      </w:r>
      <w:r>
        <w:rPr>
          <w:rFonts w:eastAsia="游ゴシック体 ボールド" w:hint="eastAsia"/>
          <w:rtl w:val="0"/>
          <w:lang w:val="en-US"/>
        </w:rPr>
        <w:t>黒</w:t>
      </w:r>
      <w:r>
        <w:rPr>
          <w:rFonts w:ascii="游ゴシック体 ボールド" w:hAnsi="游ゴシック体 ボールド" w:hint="default"/>
          <w:rtl w:val="0"/>
          <w:lang w:val="en-US"/>
        </w:rPr>
        <w:t>×</w:t>
      </w:r>
      <w:r>
        <w:rPr>
          <w:rFonts w:eastAsia="游ゴシック体 ボールド" w:hint="eastAsia"/>
          <w:rtl w:val="0"/>
          <w:lang w:val="en-US"/>
        </w:rPr>
        <w:t>ゴールドで統一したプレミアム空間</w:t>
      </w:r>
    </w:p>
    <w:p>
      <w:pPr>
        <w:pStyle w:val="本文 A"/>
        <w:spacing w:after="16"/>
        <w:ind w:left="255" w:firstLine="0"/>
      </w:pPr>
      <w:r>
        <w:rPr>
          <w:rFonts w:ascii="游ゴシック体 ミディアム" w:hAnsi="游ゴシック体 ミディアム"/>
          <w:outline w:val="0"/>
          <w:color w:val="414141"/>
          <w:sz w:val="15"/>
          <w:szCs w:val="15"/>
          <w:u w:color="414141"/>
          <w:rtl w:val="0"/>
          <w:lang w:val="de-DE"/>
          <w14:textFill>
            <w14:solidFill>
              <w14:srgbClr w14:val="414141"/>
            </w14:solidFill>
          </w14:textFill>
        </w:rPr>
        <w:t>SKY TRANSFER</w:t>
      </w:r>
      <w:r>
        <w:rPr>
          <w:rFonts w:eastAsia="游ゴシック体 ミディアム" w:hint="eastAsia"/>
          <w:outline w:val="0"/>
          <w:color w:val="414141"/>
          <w:sz w:val="15"/>
          <w:szCs w:val="15"/>
          <w:u w:color="414141"/>
          <w:rtl w:val="0"/>
          <w:lang w:val="en-US"/>
          <w14:textFill>
            <w14:solidFill>
              <w14:srgbClr w14:val="414141"/>
            </w14:solidFill>
          </w14:textFill>
        </w:rPr>
        <w:t>の「安心・快適・上質なおもてなし」を視覚的に表現。遠くからでもブランドが分かるサインと、落ち着いた高級感のあるブースデザインが特徴です。</w:t>
      </w:r>
    </w:p>
    <w:p>
      <w:pPr>
        <w:pStyle w:val="本文 A"/>
        <w:spacing w:before="10" w:after="0"/>
      </w:pPr>
      <w:r>
        <w:rPr>
          <w:rFonts w:ascii="游ゴシック体 ボールド" w:hAnsi="游ゴシック体 ボールド"/>
          <w:rtl w:val="0"/>
          <w:lang w:val="en-US"/>
        </w:rPr>
        <w:t xml:space="preserve">2. </w:t>
      </w:r>
      <w:r>
        <w:rPr>
          <w:rFonts w:eastAsia="游ゴシック体 ボールド" w:hint="eastAsia"/>
          <w:rtl w:val="0"/>
          <w:lang w:val="en-US"/>
        </w:rPr>
        <w:t>サービスが一目で伝わる大型ビジュアル</w:t>
      </w:r>
    </w:p>
    <w:p>
      <w:pPr>
        <w:pStyle w:val="本文 A"/>
        <w:spacing w:after="16"/>
        <w:ind w:left="255" w:firstLine="0"/>
      </w:pPr>
      <w:r>
        <w:rPr>
          <w:rFonts w:ascii="游ゴシック体 ミディアム" w:hAnsi="游ゴシック体 ミディアム"/>
          <w:outline w:val="0"/>
          <w:color w:val="414141"/>
          <w:sz w:val="15"/>
          <w:szCs w:val="15"/>
          <w:u w:color="414141"/>
          <w:rtl w:val="0"/>
          <w:lang w:val="en-US"/>
          <w14:textFill>
            <w14:solidFill>
              <w14:srgbClr w14:val="414141"/>
            </w14:solidFill>
          </w14:textFill>
        </w:rPr>
        <w:t xml:space="preserve">Airport Transfer / Business Travel / VIP &amp; Executive / Point to Point </w:t>
      </w:r>
      <w:r>
        <w:rPr>
          <w:rFonts w:eastAsia="游ゴシック体 ミディアム" w:hint="eastAsia"/>
          <w:outline w:val="0"/>
          <w:color w:val="414141"/>
          <w:sz w:val="15"/>
          <w:szCs w:val="15"/>
          <w:u w:color="414141"/>
          <w:rtl w:val="0"/>
          <w:lang w:val="en-US"/>
          <w14:textFill>
            <w14:solidFill>
              <w14:srgbClr w14:val="414141"/>
            </w14:solidFill>
          </w14:textFill>
        </w:rPr>
        <w:t>を大型パネルで紹介。空港送迎からビジネス・</w:t>
      </w:r>
      <w:r>
        <w:rPr>
          <w:rFonts w:ascii="游ゴシック体 ミディアム" w:hAnsi="游ゴシック体 ミディアム"/>
          <w:outline w:val="0"/>
          <w:color w:val="414141"/>
          <w:sz w:val="15"/>
          <w:szCs w:val="15"/>
          <w:u w:color="414141"/>
          <w:rtl w:val="0"/>
          <w:lang w:val="en-US"/>
          <w14:textFill>
            <w14:solidFill>
              <w14:srgbClr w14:val="414141"/>
            </w14:solidFill>
          </w14:textFill>
        </w:rPr>
        <w:t>VIP</w:t>
      </w:r>
      <w:r>
        <w:rPr>
          <w:rFonts w:eastAsia="游ゴシック体 ミディアム" w:hint="eastAsia"/>
          <w:outline w:val="0"/>
          <w:color w:val="414141"/>
          <w:sz w:val="15"/>
          <w:szCs w:val="15"/>
          <w:u w:color="414141"/>
          <w:rtl w:val="0"/>
          <w:lang w:val="en-US"/>
          <w14:textFill>
            <w14:solidFill>
              <w14:srgbClr w14:val="414141"/>
            </w14:solidFill>
          </w14:textFill>
        </w:rPr>
        <w:t>移動まで、利用シーンを分かりやすくご覧いただけます。</w:t>
      </w:r>
    </w:p>
    <w:p>
      <w:pPr>
        <w:pStyle w:val="本文 A"/>
        <w:spacing w:before="10" w:after="0"/>
      </w:pPr>
      <w:r>
        <w:rPr>
          <w:rFonts w:ascii="游ゴシック体 ボールド" w:hAnsi="游ゴシック体 ボールド"/>
          <w:rtl w:val="0"/>
          <w:lang w:val="en-US"/>
        </w:rPr>
        <w:t xml:space="preserve">3. </w:t>
      </w:r>
      <w:r>
        <w:rPr>
          <w:rFonts w:eastAsia="游ゴシック体 ボールド" w:hint="eastAsia"/>
          <w:rtl w:val="0"/>
          <w:lang w:val="en-US"/>
        </w:rPr>
        <w:t>旅行・法人関係者向けの商談スペース</w:t>
      </w:r>
    </w:p>
    <w:p>
      <w:pPr>
        <w:pStyle w:val="本文 A"/>
        <w:spacing w:after="16"/>
        <w:ind w:left="255" w:firstLine="0"/>
      </w:pPr>
      <w:r>
        <w:rPr>
          <w:rFonts w:eastAsia="游ゴシック体 ミディアム" w:hint="eastAsia"/>
          <w:outline w:val="0"/>
          <w:color w:val="414141"/>
          <w:sz w:val="15"/>
          <w:szCs w:val="15"/>
          <w:u w:color="414141"/>
          <w:rtl w:val="0"/>
          <w:lang w:val="en-US"/>
          <w14:textFill>
            <w14:solidFill>
              <w14:srgbClr w14:val="414141"/>
            </w14:solidFill>
          </w14:textFill>
        </w:rPr>
        <w:t>中央の受付カウンターで、旅行会社・</w:t>
      </w:r>
      <w:r>
        <w:rPr>
          <w:rFonts w:ascii="游ゴシック体 ミディアム" w:hAnsi="游ゴシック体 ミディアム"/>
          <w:outline w:val="0"/>
          <w:color w:val="414141"/>
          <w:sz w:val="15"/>
          <w:szCs w:val="15"/>
          <w:u w:color="414141"/>
          <w:rtl w:val="0"/>
          <w:lang w:val="en-US"/>
          <w14:textFill>
            <w14:solidFill>
              <w14:srgbClr w14:val="414141"/>
            </w14:solidFill>
          </w14:textFill>
        </w:rPr>
        <w:t>DMC</w:t>
      </w:r>
      <w:r>
        <w:rPr>
          <w:rFonts w:eastAsia="游ゴシック体 ミディアム" w:hint="eastAsia"/>
          <w:outline w:val="0"/>
          <w:color w:val="414141"/>
          <w:sz w:val="15"/>
          <w:szCs w:val="15"/>
          <w:u w:color="414141"/>
          <w:rtl w:val="0"/>
          <w:lang w:val="en-US"/>
          <w14:textFill>
            <w14:solidFill>
              <w14:srgbClr w14:val="414141"/>
            </w14:solidFill>
          </w14:textFill>
        </w:rPr>
        <w:t>・法人・イベント関係者からの送迎／チャーター相談に対応。日本でのハイヤー手配や連携方法を具体的にご案内します。</w:t>
      </w:r>
    </w:p>
    <w:p>
      <w:pPr>
        <w:pStyle w:val="本文 A"/>
        <w:spacing w:before="10" w:after="0"/>
      </w:pPr>
      <w:r>
        <w:rPr>
          <w:rFonts w:ascii="游ゴシック体 ボールド" w:hAnsi="游ゴシック体 ボールド"/>
          <w:rtl w:val="0"/>
          <w:lang w:val="en-US"/>
        </w:rPr>
        <w:t xml:space="preserve">4. </w:t>
      </w:r>
      <w:r>
        <w:rPr>
          <w:rtl w:val="1"/>
          <w:lang w:val="ar-SA" w:bidi="ar-SA"/>
        </w:rPr>
        <w:t>“</w:t>
      </w:r>
      <w:r>
        <w:rPr>
          <w:rFonts w:ascii="游ゴシック体 ボールド" w:hAnsi="游ゴシック体 ボールド"/>
          <w:rtl w:val="0"/>
          <w:lang w:val="en-US"/>
        </w:rPr>
        <w:t>VIP Hospitality</w:t>
      </w:r>
      <w:r>
        <w:rPr>
          <w:rFonts w:ascii="游ゴシック体 ボールド" w:hAnsi="游ゴシック体 ボールド" w:hint="default"/>
          <w:rtl w:val="0"/>
          <w:lang w:val="en-US"/>
        </w:rPr>
        <w:t>”</w:t>
      </w:r>
      <w:r>
        <w:rPr>
          <w:rFonts w:eastAsia="游ゴシック体 ボールド" w:hint="eastAsia"/>
          <w:rtl w:val="0"/>
          <w:lang w:val="en-US"/>
        </w:rPr>
        <w:t>を体感できる展示</w:t>
      </w:r>
    </w:p>
    <w:p>
      <w:pPr>
        <w:pStyle w:val="本文 A"/>
        <w:spacing w:after="16"/>
        <w:ind w:left="255" w:firstLine="0"/>
      </w:pPr>
      <w:r>
        <w:rPr>
          <w:rFonts w:ascii="游ゴシック体 ミディアム" w:hAnsi="游ゴシック体 ミディアム"/>
          <w:outline w:val="0"/>
          <w:color w:val="414141"/>
          <w:sz w:val="15"/>
          <w:szCs w:val="15"/>
          <w:u w:color="414141"/>
          <w:rtl w:val="0"/>
          <w:lang w:val="en-US"/>
          <w14:textFill>
            <w14:solidFill>
              <w14:srgbClr w14:val="414141"/>
            </w14:solidFill>
          </w14:textFill>
        </w:rPr>
        <w:t xml:space="preserve">Punctual &amp; Reliable / Luxury Vehicles / Professional Chauffeurs / 24/7 Service </w:t>
      </w:r>
      <w:r>
        <w:rPr>
          <w:rFonts w:eastAsia="游ゴシック体 ミディアム" w:hint="eastAsia"/>
          <w:outline w:val="0"/>
          <w:color w:val="414141"/>
          <w:sz w:val="15"/>
          <w:szCs w:val="15"/>
          <w:u w:color="414141"/>
          <w:rtl w:val="0"/>
          <w:lang w:val="en-US"/>
          <w14:textFill>
            <w14:solidFill>
              <w14:srgbClr w14:val="414141"/>
            </w14:solidFill>
          </w14:textFill>
        </w:rPr>
        <w:t>をキーワードに、</w:t>
      </w:r>
      <w:r>
        <w:rPr>
          <w:rFonts w:ascii="游ゴシック体 ミディアム" w:hAnsi="游ゴシック体 ミディアム"/>
          <w:outline w:val="0"/>
          <w:color w:val="414141"/>
          <w:sz w:val="15"/>
          <w:szCs w:val="15"/>
          <w:u w:color="414141"/>
          <w:rtl w:val="0"/>
          <w:lang w:val="de-DE"/>
          <w14:textFill>
            <w14:solidFill>
              <w14:srgbClr w14:val="414141"/>
            </w14:solidFill>
          </w14:textFill>
        </w:rPr>
        <w:t>SKY TRANSFER</w:t>
      </w:r>
      <w:r>
        <w:rPr>
          <w:rFonts w:eastAsia="游ゴシック体 ミディアム" w:hint="eastAsia"/>
          <w:outline w:val="0"/>
          <w:color w:val="414141"/>
          <w:sz w:val="15"/>
          <w:szCs w:val="15"/>
          <w:u w:color="414141"/>
          <w:rtl w:val="0"/>
          <w:lang w:val="en-US"/>
          <w14:textFill>
            <w14:solidFill>
              <w14:srgbClr w14:val="414141"/>
            </w14:solidFill>
          </w14:textFill>
        </w:rPr>
        <w:t>が大切にする品質基準とサービス姿勢をご紹介します。</w:t>
      </w:r>
    </w:p>
    <w:p>
      <w:pPr>
        <w:pStyle w:val="本文 A"/>
        <w:spacing w:before="40" w:after="0"/>
      </w:pPr>
      <w:r>
        <w:rPr>
          <w:rFonts w:eastAsia="游ゴシック体 ボールド" w:hint="eastAsia"/>
          <w:outline w:val="0"/>
          <w:color w:val="b58b47"/>
          <w:sz w:val="16"/>
          <w:szCs w:val="16"/>
          <w:u w:color="b58b47"/>
          <w:rtl w:val="0"/>
          <w:lang w:val="en-US"/>
          <w14:textFill>
            <w14:solidFill>
              <w14:srgbClr w14:val="B58B47"/>
            </w14:solidFill>
          </w14:textFill>
        </w:rPr>
        <w:t xml:space="preserve">【ご来場者・メディアの皆さまへ】 </w:t>
      </w:r>
      <w:r>
        <w:rPr>
          <w:rFonts w:eastAsia="游ゴシック体 ミディアム" w:hint="eastAsia"/>
          <w:sz w:val="15"/>
          <w:szCs w:val="15"/>
          <w:rtl w:val="0"/>
          <w:lang w:val="en-US"/>
        </w:rPr>
        <w:t>ブースではプレミアム送迎・ハイヤーサービスのご相談を承ります。黒</w:t>
      </w:r>
      <w:r>
        <w:rPr>
          <w:rFonts w:ascii="游ゴシック体 ミディアム" w:hAnsi="游ゴシック体 ミディアム" w:hint="default"/>
          <w:sz w:val="15"/>
          <w:szCs w:val="15"/>
          <w:rtl w:val="0"/>
          <w:lang w:val="en-US"/>
        </w:rPr>
        <w:t>×</w:t>
      </w:r>
      <w:r>
        <w:rPr>
          <w:rFonts w:eastAsia="游ゴシック体 ミディアム" w:hint="eastAsia"/>
          <w:sz w:val="15"/>
          <w:szCs w:val="15"/>
          <w:rtl w:val="0"/>
          <w:lang w:val="en-US"/>
        </w:rPr>
        <w:t>ゴールドの正面サインと車両ビジュアルは撮影スポットとしてもおすすめです。</w:t>
      </w:r>
    </w:p>
    <w:sectPr>
      <w:headerReference w:type="default" r:id="rId5"/>
      <w:footerReference w:type="default" r:id="rId6"/>
      <w:pgSz w:w="12240" w:h="15840" w:orient="portrait"/>
      <w:pgMar w:top="595" w:right="822" w:bottom="539" w:left="822"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ヒラギノ角ゴ ProN W3">
    <w:charset w:val="00"/>
    <w:family w:val="roman"/>
    <w:pitch w:val="default"/>
  </w:font>
  <w:font w:name="游ゴシック体 ボールド">
    <w:charset w:val="00"/>
    <w:family w:val="roman"/>
    <w:pitch w:val="default"/>
  </w:font>
  <w:font w:name="游ゴシック体 ミディアム">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ヘッダとフッタ"/>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ヘッダとフッタ"/>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日本語" w:val="‘“(〔[{〈《「『【⦅〘〖«〝︵︷︹︻︽︿﹁﹃﹇﹙﹛﹝｢"/>
  <w:noLineBreaksBefore w:lang="日本語"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ヘッダとフッタ">
    <w:name w:val="ヘッダとフッタ"/>
    <w:next w:val="ヘッダとフッタ"/>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ヒラギノ角ゴ ProN W3" w:cs="Arial Unicode MS" w:hAnsi="ヒラギノ角ゴ ProN W3"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本文 A">
    <w:name w:val="本文 A"/>
    <w:next w:val="本文 A"/>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Arial Unicode MS" w:cs="Arial Unicode MS" w:hAnsi="Arial Unicode MS" w:eastAsia="Arial Unicode MS" w:hint="eastAsia"/>
      <w:b w:val="0"/>
      <w:bCs w:val="0"/>
      <w:i w:val="0"/>
      <w:iCs w:val="0"/>
      <w:caps w:val="0"/>
      <w:smallCaps w:val="0"/>
      <w:strike w:val="0"/>
      <w:dstrike w:val="0"/>
      <w:outline w:val="0"/>
      <w:color w:val="000000"/>
      <w:spacing w:val="0"/>
      <w:kern w:val="0"/>
      <w:position w:val="0"/>
      <w:sz w:val="17"/>
      <w:szCs w:val="17"/>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ヒラギノ角ゴ ProN W6"/>
        <a:ea typeface="ヒラギノ角ゴ ProN W6"/>
        <a:cs typeface="ヒラギノ角ゴ ProN W6"/>
      </a:majorFont>
      <a:minorFont>
        <a:latin typeface="ヒラギノ角ゴ ProN W3"/>
        <a:ea typeface="ヒラギノ角ゴ ProN W3"/>
        <a:cs typeface="ヒラギノ角ゴ ProN W3"/>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